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Уважаемый Покупатель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Просим Вас внимательно ознакомится с представленным текстом публичной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случае несогласия с каким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либо его пунктом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Вы можете отказаться от покупки Товаров или направить нам свои замечания и предложения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Договор публичной оферты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Настоящий договор адресован физическим лицам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, (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далее «Клиент»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Онлайн сервис предоставляется РОО Казахстанское общество экономистов здравоохранения</w:t>
      </w: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далее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Продавец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Продавец и Покупатель заключили настоящий договор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далее – Договор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 нижеследующем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: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1.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Общие положения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1.1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В соответствии со статьей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395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Гражданского Кодекса Республики Казахстан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далее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ГК РК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данный документ является публичной офертой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 в случае принятия изложенных ниже условий Клиент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производящий акцепт этой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осуществляет оплату Товара Продавца в соответствии с условиями настоящего Договора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В соответствии с пунктом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396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ГК РК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оплата Товара Клиентом является акцептом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что считается равносильным заключению Договора на условиях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изложенных в оферте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Термины и определения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2.1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Оферта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– публичное предложение Продавца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адресованное любому физическому или юридическому лицу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приобретения Товара на существующих условиях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содержащихся в Договоре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включая все его приложения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2.2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Продавец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– РОО Казахстанское общество экономистов здравоохранения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реализующий Подписку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представленную на сайте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www.healtheconomics.kz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2.3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Покупатель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– физическое или юридическое лицо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принимающее Оферту от Продавца на условиях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содержащихся в Договоре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2.4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Акцепт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– полное и безоговорочное принятие Покупателем условий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2.5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Подписка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Возможность вступить в Общество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представленная на сайте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www.healtheconomics.kz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2.6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Заказ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– отдельные позиции из ассортиментного перечня Товара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указанные Покупателем при размещении заявки на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www.healtheconomics.kz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2.7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Сайт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– совокупность электронных документов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файлов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Продавца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доступных в сети интернет по адресу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www.healtheconomics.kz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cs="Times" w:hAnsi="Times" w:eastAsia="Times"/>
          <w:sz w:val="24"/>
          <w:szCs w:val="24"/>
          <w:shd w:val="clear" w:color="auto" w:fill="ffffff"/>
        </w:rPr>
        <w:drawing>
          <wp:inline distT="0" distB="0" distL="0" distR="0">
            <wp:extent cx="1422400" cy="12700"/>
            <wp:effectExtent l="0" t="0" r="0" b="0"/>
            <wp:docPr id="1073741825" name="officeArt object" descr="page1image340268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4026816.png" descr="page1image3402681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3.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Предмет договора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3.1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Продавец предоставляет Подписку в соответствии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 со вступительным взносом и ежегодным членским взносом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опубликованным на сайте Продавца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 на странице «Вступить в Общество»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а Покупатель производит оплату и принимает вступает в соответствии с условиями настоящей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3.2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Настоящий Договор и все приложения к нему являются официальными документами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Продавца и неотъемлемой частью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4.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Размещение Подписки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4.1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Подписка осуществляется Покупателем на Сайте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4.2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При регистрации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размещении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Заказа на Сайте Продавца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обязуется предоставить регистрационную информацию о себе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4.3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Принятие Покупателем условий настоящей Оферты осуществляется посредством внесения Покупателем соответствующих данных в регистрационную форму на Сайте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имеет право редактировать регистрационную информацию о себе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4.4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Продавец обязуется не сообщать регистрационные данные Покупателя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а также иную информацию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касающуюся личных данных Покупателя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лицам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не имеющим отношения к исполнению Заказа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Утвердив Подписку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предоставляет необходимую информацию для доставки товара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4.5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несет ответственность за содержание и достоверность информации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предоставленной при размещении Заказа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4.6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случае возникновения у Покупателя вопросов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касающихся Подписку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перед размещением Заказа ему необходимо обратиться за консультацией или отправить запрос на адрес электронной почты Продавца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info@healtheconomics.kz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  <w:lang w:val="ru-RU"/>
        </w:rPr>
        <w:br w:type="textWrapping"/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5.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Сроки исполнения Заказа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5.1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Срок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который Продавец обязуется исполнить Заказ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составляет от одного рабочего дня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Срок исполнения Заказа зависит от времени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необходимого на обработку Заказа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Срок исполнения Заказа в исключительных случаях может быть оговорен с Покупателем индивидуально в зависимости времени оформления Подписки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5.2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Стоимость и условия Подписки Покупатель уточняет на Сайте Продавца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5.4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В случае предоставления Покупателем недостоверной информации о его контактных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данных или составе Заказа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Продавец не несет ответственности за ненадлежащее исполнение Заказа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Оплата Заказа </w:t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6.1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Оплата исполненного Заказа по выбору Покупателя может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осуществляется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: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6.1.1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путем перечисления денежных средств на расчетный счет Продавца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>6.1.2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путем перечисления Покупателем денежных средств в режиме онлайн через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систему электронных платежей следующими платежными средствами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: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3"/>
        </w:numPr>
        <w:bidi w:val="0"/>
        <w:spacing w:after="320" w:line="360" w:lineRule="atLeast"/>
        <w:ind w:right="0"/>
        <w:jc w:val="left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платежные карты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(VISA, EuroCard/MasterCard). </w:t>
      </w:r>
      <w:r>
        <w:rPr>
          <w:rFonts w:ascii="Times" w:cs="Times" w:hAnsi="Times" w:eastAsia="Times"/>
          <w:sz w:val="32"/>
          <w:szCs w:val="32"/>
          <w:shd w:val="clear" w:color="auto" w:fill="ffffff"/>
          <w:lang w:val="ru-RU"/>
        </w:rPr>
        <w:br w:type="textWrapping"/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6.2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Совершая действия по подключению сервиса привязки платежной карты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подтверждает свое согласие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: </w:t>
      </w:r>
    </w:p>
    <w:p>
      <w:pPr>
        <w:pStyle w:val="По умолчанию"/>
        <w:numPr>
          <w:ilvl w:val="0"/>
          <w:numId w:val="3"/>
        </w:numPr>
        <w:bidi w:val="0"/>
        <w:spacing w:after="320" w:line="360" w:lineRule="atLeast"/>
        <w:ind w:right="0"/>
        <w:jc w:val="left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на хранение информации третьими лицами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" w:cs="Times" w:hAnsi="Times" w:eastAsia="Times"/>
          <w:sz w:val="32"/>
          <w:szCs w:val="32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3"/>
        </w:numPr>
        <w:bidi w:val="0"/>
        <w:spacing w:after="320" w:line="360" w:lineRule="atLeast"/>
        <w:ind w:right="0"/>
        <w:jc w:val="left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нести самостоятельную полную ответственность за использование сервиса </w:t>
      </w:r>
      <w:r>
        <w:rPr>
          <w:rFonts w:ascii="Times" w:cs="Times" w:hAnsi="Times" w:eastAsia="Times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привязки платежной карты </w:t>
      </w:r>
      <w:r>
        <w:rPr>
          <w:rFonts w:ascii="Times" w:cs="Times" w:hAnsi="Times" w:eastAsia="Times"/>
          <w:sz w:val="32"/>
          <w:szCs w:val="32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3"/>
        </w:numPr>
        <w:bidi w:val="0"/>
        <w:spacing w:after="320" w:line="360" w:lineRule="atLeast"/>
        <w:ind w:right="0"/>
        <w:jc w:val="left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нести все риски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связанные с возможным использованием третьими лицами логина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" w:cs="Times" w:hAnsi="Times" w:eastAsia="Times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пароля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ответа на контрольный вопрос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номера карты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использование автоматической авторизации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том числе при пересылке сообщения полученного на электронную почту и иной информации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32"/>
          <w:szCs w:val="32"/>
          <w:shd w:val="clear" w:color="auto" w:fill="ffffff"/>
        </w:rPr>
        <w:br w:type="textWrapping"/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cs="Times" w:hAnsi="Times" w:eastAsia="Times"/>
          <w:sz w:val="24"/>
          <w:szCs w:val="24"/>
          <w:shd w:val="clear" w:color="auto" w:fill="ffffff"/>
        </w:rPr>
        <w:drawing>
          <wp:inline distT="0" distB="0" distL="0" distR="0">
            <wp:extent cx="5981700" cy="355600"/>
            <wp:effectExtent l="0" t="0" r="0" b="0"/>
            <wp:docPr id="1073741826" name="officeArt object" descr="page2image340355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2image34035520.png" descr="page2image34035520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5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6.3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При использовании сервиса онлайн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оплаты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Покупатель немедленно уведомляет Продавца о любом случае несанкционированного доступа к личным данным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Покупателя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о любом нарушении</w:t>
      </w:r>
      <w:r>
        <w:rPr>
          <w:rFonts w:ascii="Times New Roman" w:hAnsi="Times New Roman"/>
          <w:sz w:val="32"/>
          <w:szCs w:val="32"/>
          <w:rtl w:val="0"/>
          <w:lang w:val="ru-RU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подозрениях о нарушении конфиденциальности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В целях безопасности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самостоятельно осуществляет безопасное завершение работы сервиса онлайн оплаты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Продавец не несет ответственность за возможную потерю данных и иные возможные последствия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6.4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Цена за Подписку отображается на Сайте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6.5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Цены на подписку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указанные на Сайте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могут быть изменены Продавцом в одностороннем порядке без уведомления Покупателя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  <w:br w:type="textWrapping"/>
      </w: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6.6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Оплата Покупателем самостоятельно размещенного Заказа на Сайте любым из способов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предусмотренных п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.6.1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Договора означает согласие с условиями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День оплаты Заказа является датой Акцепта Оферты между Продавцом и Покупателем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7.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Информационные сообщения </w:t>
      </w:r>
    </w:p>
    <w:p>
      <w:pPr>
        <w:pStyle w:val="По умолчанию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 New Roman" w:hAnsi="Times New Roman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 xml:space="preserve">7.1 </w:t>
      </w:r>
      <w:r>
        <w:rPr>
          <w:rFonts w:ascii="Times New Roman" w:hAnsi="Times New Roman" w:hint="default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дает свое согласие на получение обновленной информации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информационных сообщений с последними новостями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новыми предложениями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специальными предложениями и объявлениями о продаже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а также информации о новостях и предложениях партнеров Продавца посредством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SMS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 электронной почты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 New Roman" w:hAnsi="Times New Roman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 xml:space="preserve">7.2 </w:t>
      </w:r>
      <w:r>
        <w:rPr>
          <w:rFonts w:ascii="Times New Roman" w:hAnsi="Times New Roman" w:hint="default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может выбрать параметры рассылки или отказаться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 New Roman" w:hAnsi="Times New Roman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 xml:space="preserve">7.3 </w:t>
      </w:r>
      <w:r>
        <w:rPr>
          <w:rFonts w:ascii="Times New Roman" w:hAnsi="Times New Roman" w:hint="default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дает согласие на запись телефонных разговоров для повышения качества обслуживания и подтверждения устных заявлений Покупателя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сохранение данных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Покупателя исключительно в целях удобства последующих покупок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 New Roman" w:hAnsi="Times New Roman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 xml:space="preserve">7.4 </w:t>
      </w:r>
      <w:r>
        <w:rPr>
          <w:rFonts w:ascii="Times New Roman" w:hAnsi="Times New Roman" w:hint="default"/>
          <w:outline w:val="0"/>
          <w:color w:val="333366"/>
          <w:sz w:val="32"/>
          <w:szCs w:val="32"/>
          <w:u w:color="333366"/>
          <w:shd w:val="clear" w:color="auto" w:fill="ffffff"/>
          <w:rtl w:val="0"/>
          <w:lang w:val="ru-RU"/>
          <w14:textFill>
            <w14:solidFill>
              <w14:srgbClr w14:val="333366"/>
            </w14:solidFill>
          </w14:textFill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Цены в рассылке и рекламе не являются публичной Офертой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8.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Прочие условия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8.1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Настоящим Покупатель соглашается с обязательными условиями настоящего Договора публичной оферты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8.2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соответствии с условиями настоящего Договора публичной оферты Продавец имеет право отказать в размещении Заказа лицам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выражающим несогласие с условиями настоящего Договора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8.3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Продавец оставляет за собой право вносить изменения в настоящий Договор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связи с чем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Покупатель обязуется регулярно отслеживать изменения на Сайте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8.4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Все споры и разногласия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которые могут возникнуть в ходе исполнения настоящего Договора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будут разрешаться сторонами путем переговоров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8.5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Соблюдение досудебного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претензионного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порядка разрешения споров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возникающих по Договору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является обязательным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ru-RU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8.6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В случае невозможности разрешения споров путем переговоров Стороны разрешают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все разногласия в судебном порядке по месту нахождения Продавца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Times" w:cs="Times" w:hAnsi="Times" w:eastAsia="Times"/>
          <w:sz w:val="24"/>
          <w:szCs w:val="24"/>
          <w:shd w:val="clear" w:color="auto" w:fill="ffffff"/>
        </w:rPr>
        <w:br w:type="textWrapping"/>
      </w:r>
    </w:p>
    <w:p>
      <w:pPr>
        <w:pStyle w:val="По умолчанию"/>
        <w:spacing w:after="240" w:line="36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9. 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Реквизиты Продавца </w:t>
      </w:r>
    </w:p>
    <w:p>
      <w:pPr>
        <w:pStyle w:val="По умолчанию"/>
        <w:spacing w:after="240" w:line="34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Республиканское общественное объединение  «Казахстанское общество экономистов здравоохранения» </w:t>
      </w:r>
    </w:p>
    <w:p>
      <w:pPr>
        <w:pStyle w:val="По умолчанию"/>
        <w:spacing w:after="240" w:line="340" w:lineRule="atLeast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Адрес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010000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Республика Казахстан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город Нур</w:t>
      </w:r>
      <w:r>
        <w:rPr>
          <w:rFonts w:ascii="Times New Roman" w:hAnsi="Times New Roman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Султан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район Алматы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улица Габидена Мустафина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д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.9,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кв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.70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spacing w:after="240" w:line="340" w:lineRule="atLeast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БИН </w:t>
      </w:r>
      <w:r>
        <w:rPr>
          <w:rFonts w:ascii="Times New Roman" w:hAnsi="Times New Roman"/>
          <w:sz w:val="32"/>
          <w:szCs w:val="32"/>
          <w:rtl w:val="0"/>
          <w:lang w:val="ru-RU"/>
        </w:rPr>
        <w:t>191240005156</w:t>
      </w:r>
    </w:p>
    <w:p>
      <w:pPr>
        <w:pStyle w:val="По умолчанию"/>
        <w:spacing w:after="240" w:line="340" w:lineRule="atLeast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ИИК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KZ</w:t>
      </w:r>
      <w:r>
        <w:rPr>
          <w:rFonts w:ascii="Times New Roman" w:hAnsi="Times New Roman"/>
          <w:sz w:val="32"/>
          <w:szCs w:val="32"/>
          <w:rtl w:val="0"/>
          <w:lang w:val="ru-RU"/>
        </w:rPr>
        <w:t>028562203107498249</w:t>
      </w:r>
    </w:p>
    <w:p>
      <w:pPr>
        <w:pStyle w:val="По умолчанию"/>
        <w:spacing w:after="240" w:line="340" w:lineRule="atLeast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АО «Банк ЦентрКредит»</w:t>
      </w:r>
    </w:p>
    <w:p>
      <w:pPr>
        <w:pStyle w:val="Основно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 w:hAnsi="Times New Roman" w:hint="default"/>
          <w:sz w:val="32"/>
          <w:szCs w:val="3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БИК</w:t>
      </w:r>
      <w:r>
        <w:rPr>
          <w:rFonts w:ascii="Times New Roman" w:hAnsi="Times New Roman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KCJBKZKX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66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