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FC" w:rsidRPr="002E34FC" w:rsidRDefault="002E34FC" w:rsidP="002E34FC">
      <w:pPr>
        <w:shd w:val="clear" w:color="auto" w:fill="FFFFFF"/>
        <w:spacing w:before="161" w:after="161" w:line="240" w:lineRule="auto"/>
        <w:outlineLvl w:val="0"/>
        <w:rPr>
          <w:rFonts w:ascii="Roboto" w:eastAsia="Times New Roman" w:hAnsi="Roboto" w:cs="Arial"/>
          <w:color w:val="004583"/>
          <w:kern w:val="36"/>
          <w:sz w:val="32"/>
          <w:szCs w:val="32"/>
          <w:lang w:eastAsia="ru-RU"/>
        </w:rPr>
      </w:pPr>
      <w:r w:rsidRPr="002E34FC">
        <w:rPr>
          <w:rFonts w:ascii="Roboto" w:eastAsia="Times New Roman" w:hAnsi="Roboto" w:cs="Arial"/>
          <w:color w:val="004583"/>
          <w:kern w:val="36"/>
          <w:sz w:val="32"/>
          <w:szCs w:val="32"/>
          <w:lang w:eastAsia="ru-RU"/>
        </w:rPr>
        <w:t>СПРАВКА ОБ ИТОГАХ СОЦИАЛЬНО-ЭКОНОМИЧЕСКОГО РАЗВИТИЯ РЕСПУБЛИКИ КАЗАХСТАН ЗА 2019 ГОД</w:t>
      </w:r>
    </w:p>
    <w:p w:rsidR="002E34FC" w:rsidRPr="002E34FC" w:rsidRDefault="002E34FC" w:rsidP="002E3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Общие макропоказатели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предварительной оценке, в 2019 году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рост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ВВП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4,5%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Краткосрочный экономический индикатор,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включающий динамику развития 6 ключевых отраслей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(промышленность, сельское хозяйство, строительство, торговля, транспорт, связь),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105,0%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Месячная инфляция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декабре 2019г. составила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0,7%.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Инфляция в годовом выражении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составила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5,4%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Цены на продовольственные товары выросли на 9,6%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непродовольственные товары – на 5,0%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платные услуги – на 0,7%.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Объем инвестиций в основной капитал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 итогам 2019 года увеличился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8,5%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счет строительства магистрального газопровода, солнечной электростанции, промышленных объектов и приобретения производственного оборудования, а также модернизации объектов горнодобывающей промышленности, социальных объектов, жилья, инфраструктуры.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разрезе отраслей существенный рост инвестиций наблюдался в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профессиональной, научной и технической деятельности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51,0% до 71,4 млрд. тенге)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, искусстве, развлечении и отдыхе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(на 42,6% до 153,7 млрд. тенге),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сельском хозяйстве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(на 41,1% до 501,6 млрд. тенге),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финансовой и страховой деятельности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 32,3% до 89,7 млрд. тенге),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здравоохранение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 19,8% до 137,7 млрд. тенге),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промышленности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(на 15,0% до 7 814,0 млрд. тенге)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операциях с недвижимым имуществом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(на 14,7% до 1 638,9 млрд. тенге).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Международные резервы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страны на 1 января 2020 года составили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90,9 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долл. США и увеличились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2,2%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сравнению с соответствующей датой 2019 года, в том числе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активы </w:t>
      </w:r>
      <w:proofErr w:type="spell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Нацфонда</w:t>
      </w:r>
      <w:proofErr w:type="spell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 иностранной валюте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6,8%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61,9 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долл. США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Золотовалютные активы Национального Банка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сократились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6,4%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29,0 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долл. США.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Среднедушевые денежные доходы населения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2019 году составили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1 241,9 тыс.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 возросли по сравнению с 2018 годом на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11,1%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номинальном выражении, в реальном – на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5,5%.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Среднемесячная заработная плата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итогам 2019 года (оценка) составила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185,5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тыс.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 увеличилась в номинальном выражении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14,3%,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реальном на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8,5%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Уровень безработицы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2019 году (оценка) 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4,8%.</w:t>
      </w:r>
    </w:p>
    <w:p w:rsidR="002E34FC" w:rsidRPr="002E34FC" w:rsidRDefault="002E34FC" w:rsidP="002E34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Ситуация в отраслях экономики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всех базовых отраслях достигнут положительный результат.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Объем промышленного производства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вырос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3,8%.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Драйверами роста стали как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горнодобывающая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(рост на 3,7%)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промышленность, так и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обрабатывающая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(на 4,4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%)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Положительная динамика в обработке обеспечена увеличением машиностроения –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20,9%,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легкой промышленности -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13,5%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(в том числе производства одежды – на 8,2%),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производства фармацевтических продуктов – на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12,2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</w:t>
      </w:r>
      <w:proofErr w:type="gramEnd"/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напитков –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10,2%.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горнодобывающей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промышленности производство увеличилось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3,7%.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Высокие темпы отмечаются в добыче руд цветных металлов на уровне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16,9%.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Электроснабжение, подача газа, пара и воздушное кондиционирование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выросли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1,3%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Водоснабжение и канализационная система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увеличились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3,2%.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Рост выпуска валовой продукции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сельского хозяйства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0,9%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 счет увеличения производства продукции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животноводства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4,0%.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строительных работ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увеличился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12,9%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счет строительства магистрального газопровода, объектов инфраструктуры, жилых зданий, а также за счет работ по реконструкции автомобильных дорог, фабрик и увеличения строительно-монтажных работ.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итогам 2019 года в эксплуатацию введено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13,1 </w:t>
      </w:r>
      <w:proofErr w:type="spell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млн.кв.м</w:t>
      </w:r>
      <w:proofErr w:type="spell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жилья.</w:t>
      </w:r>
    </w:p>
    <w:p w:rsidR="002E34FC" w:rsidRPr="002E34FC" w:rsidRDefault="002E34FC" w:rsidP="002E34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Финансовый сектор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1 января 2020 года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кредиты банков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второго уровня в отрасли экономики составили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 13 863,8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 увеличились на 5,9% к началу 2019 года. Кредиты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физическим лицам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выросли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25,6%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6 661,3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тенге. </w:t>
      </w:r>
      <w:proofErr w:type="gramStart"/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этом,</w:t>
      </w:r>
      <w:proofErr w:type="gramEnd"/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кредиты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юридическим лицам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начала года снизились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7,5%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7 202,5 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2019 год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объем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вновь выданных кредитов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15 203,0 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тенге, увеличившись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12,9%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 сравнению с 2018 годом.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краткосрочного кредитования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2019 год увеличился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11,0%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8 147,5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(доля 53,6%),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долгосрочного кредитования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15,3%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7 055,5 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(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доля 46,4%).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Новые кредиты в основном направлялись в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торговлю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(5 207,6 </w:t>
      </w:r>
      <w:proofErr w:type="gramStart"/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тенге - доля 34,3%)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промышленность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(2 162,0 млрд. тенге – доля 14,2%)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строительство направлено 476,7 </w:t>
      </w:r>
      <w:proofErr w:type="gramStart"/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тенге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(доля 3,1%),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транспортную отрасль – 413,4 млрд. тенге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(доля 2,7%),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связь – 131,8 млрд. тенге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(доля 0,9%),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а также в сельское хозяйство – 135,7 млрд. тенге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(доля 0,9%).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Депозиты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1 января 2020 года достигли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19 021,9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тенге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с начала 2019 года увеличились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2,5%,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том числе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депозиты физических лиц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-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5,9%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9 171,0 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тенге.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Депозиты юридических лиц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сократились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0,5%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9 851,1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Доля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депозитов в нацвалюте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увеличилась с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51,6%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декабре 2018 года 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56,9%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декабре 2019 года.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Объем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наличных денег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обращении </w:t>
      </w:r>
      <w:r w:rsidRPr="002E34F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(М0 –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деньги вне банковской системы</w:t>
      </w:r>
      <w:r w:rsidRPr="002E34F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начала 2019 года увеличился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1,8%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 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2 300,5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тенге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Денежная масса </w:t>
      </w:r>
      <w:r w:rsidRPr="002E34F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(М3 –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сумма наличных денег в обращении и переводимых и других депозитов небанковских юридических лиц-резидентов и населения в национальной и иностранной валюте</w:t>
      </w:r>
      <w:r w:rsidRPr="002E34FC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)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 начала 2019 года увеличилась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2,4%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21 322,5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тенге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декабре 2019 года официальный курс тенге к доллару США колебался в диапазоне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378,6 – 387,5 тенге за 1 доллар США,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среднем за 2019 год составил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382,7 тенге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 1 доллар США.</w:t>
      </w:r>
    </w:p>
    <w:p w:rsidR="002E34FC" w:rsidRPr="002E34FC" w:rsidRDefault="002E34FC" w:rsidP="002E34F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Показатели платежного баланса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Отрицательное сальдо текущих операций платежного баланса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 9 месяцев 2019 года 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4 262,1 млн.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долл. США.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Чистый приток прямых иностранных инвестиций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1 986,6 млн.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долл. США, что ниже уровня соответствующего периода 2018 года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(4 639,3 млн. долл. США)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57,2%.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предварительным данным, в 2019 году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внешнеторговый оборот Казахстана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96,1 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долл. США и увеличился на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1,4%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по сравнению с 2018 годом.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Экспорт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57,7 млрд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долл. США,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импорт – 38,4 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долл. США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</w:p>
    <w:p w:rsidR="002E34FC" w:rsidRPr="002E34FC" w:rsidRDefault="002E34FC" w:rsidP="002E34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Показатели государственного бюджета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2019 год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поступления в государственный бюджет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составили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12 895,2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 исполнены на 101,0% к годовому плану, в том числе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доходы без учета трансфертов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9 688,5 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Расходы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14 180,5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 исполнены на 99,7% к годовому плану, в том числе затраты – 13 535,6 млрд. тенге или 99,7%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Дефицит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1 285,3 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1,9%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ВВП.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Поступления в республиканский бюджет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10 723,6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 исполнены на 100,6% к годовому плану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том числе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доходы без учета трансфертов –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7 124,4 млрд.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тенге.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Расходы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12 019,9 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 исполнены на 99,9% к годовому плану, в том числе затраты – 11 469,1 млрд. тенге или 99,9%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Дефицит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1 296,3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 или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1,9%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ВВП.</w:t>
      </w:r>
    </w:p>
    <w:p w:rsidR="002E34FC" w:rsidRPr="002E34FC" w:rsidRDefault="002E34FC" w:rsidP="002E34F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Государственный долг Казахстана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 1 января 2020 года составил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16 486,8 </w:t>
      </w:r>
      <w:proofErr w:type="gramStart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млрд.</w:t>
      </w:r>
      <w:proofErr w:type="gramEnd"/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тенге 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(43,3 млрд. долл. США)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или </w:t>
      </w:r>
      <w:r w:rsidRPr="002E34FC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23,9%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 прогнозному ВВП</w:t>
      </w:r>
      <w:r w:rsidRPr="002E34FC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,</w:t>
      </w:r>
      <w:r w:rsidRPr="002E34F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т.ч. внутренний долг – 15,2% к прогнозному ВВП, внешний – 8,7% к прогнозному ВВП.</w:t>
      </w:r>
    </w:p>
    <w:p w:rsidR="002E34FC" w:rsidRDefault="002E34FC" w:rsidP="002E34FC"/>
    <w:sectPr w:rsidR="002E3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7159E"/>
    <w:multiLevelType w:val="multilevel"/>
    <w:tmpl w:val="F5B0E70C"/>
    <w:lvl w:ilvl="0">
      <w:start w:val="1"/>
      <w:numFmt w:val="decimal"/>
      <w:lvlText w:val="%1."/>
      <w:lvlJc w:val="left"/>
      <w:pPr>
        <w:tabs>
          <w:tab w:val="num" w:pos="9575"/>
        </w:tabs>
        <w:ind w:left="9575" w:hanging="360"/>
      </w:pPr>
    </w:lvl>
    <w:lvl w:ilvl="1" w:tentative="1">
      <w:start w:val="1"/>
      <w:numFmt w:val="decimal"/>
      <w:lvlText w:val="%2."/>
      <w:lvlJc w:val="left"/>
      <w:pPr>
        <w:tabs>
          <w:tab w:val="num" w:pos="10295"/>
        </w:tabs>
        <w:ind w:left="10295" w:hanging="360"/>
      </w:pPr>
    </w:lvl>
    <w:lvl w:ilvl="2" w:tentative="1">
      <w:start w:val="1"/>
      <w:numFmt w:val="decimal"/>
      <w:lvlText w:val="%3."/>
      <w:lvlJc w:val="left"/>
      <w:pPr>
        <w:tabs>
          <w:tab w:val="num" w:pos="11015"/>
        </w:tabs>
        <w:ind w:left="11015" w:hanging="360"/>
      </w:pPr>
    </w:lvl>
    <w:lvl w:ilvl="3" w:tentative="1">
      <w:start w:val="1"/>
      <w:numFmt w:val="decimal"/>
      <w:lvlText w:val="%4."/>
      <w:lvlJc w:val="left"/>
      <w:pPr>
        <w:tabs>
          <w:tab w:val="num" w:pos="11735"/>
        </w:tabs>
        <w:ind w:left="11735" w:hanging="360"/>
      </w:pPr>
    </w:lvl>
    <w:lvl w:ilvl="4" w:tentative="1">
      <w:start w:val="1"/>
      <w:numFmt w:val="decimal"/>
      <w:lvlText w:val="%5."/>
      <w:lvlJc w:val="left"/>
      <w:pPr>
        <w:tabs>
          <w:tab w:val="num" w:pos="12455"/>
        </w:tabs>
        <w:ind w:left="12455" w:hanging="360"/>
      </w:pPr>
    </w:lvl>
    <w:lvl w:ilvl="5" w:tentative="1">
      <w:start w:val="1"/>
      <w:numFmt w:val="decimal"/>
      <w:lvlText w:val="%6."/>
      <w:lvlJc w:val="left"/>
      <w:pPr>
        <w:tabs>
          <w:tab w:val="num" w:pos="13175"/>
        </w:tabs>
        <w:ind w:left="13175" w:hanging="360"/>
      </w:pPr>
    </w:lvl>
    <w:lvl w:ilvl="6" w:tentative="1">
      <w:start w:val="1"/>
      <w:numFmt w:val="decimal"/>
      <w:lvlText w:val="%7."/>
      <w:lvlJc w:val="left"/>
      <w:pPr>
        <w:tabs>
          <w:tab w:val="num" w:pos="13895"/>
        </w:tabs>
        <w:ind w:left="13895" w:hanging="360"/>
      </w:pPr>
    </w:lvl>
    <w:lvl w:ilvl="7" w:tentative="1">
      <w:start w:val="1"/>
      <w:numFmt w:val="decimal"/>
      <w:lvlText w:val="%8."/>
      <w:lvlJc w:val="left"/>
      <w:pPr>
        <w:tabs>
          <w:tab w:val="num" w:pos="14615"/>
        </w:tabs>
        <w:ind w:left="14615" w:hanging="360"/>
      </w:pPr>
    </w:lvl>
    <w:lvl w:ilvl="8" w:tentative="1">
      <w:start w:val="1"/>
      <w:numFmt w:val="decimal"/>
      <w:lvlText w:val="%9."/>
      <w:lvlJc w:val="left"/>
      <w:pPr>
        <w:tabs>
          <w:tab w:val="num" w:pos="15335"/>
        </w:tabs>
        <w:ind w:left="15335" w:hanging="360"/>
      </w:pPr>
    </w:lvl>
  </w:abstractNum>
  <w:abstractNum w:abstractNumId="1" w15:restartNumberingAfterBreak="0">
    <w:nsid w:val="38294323"/>
    <w:multiLevelType w:val="multilevel"/>
    <w:tmpl w:val="9AF06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84B25"/>
    <w:multiLevelType w:val="multilevel"/>
    <w:tmpl w:val="0E98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1C4E84"/>
    <w:multiLevelType w:val="multilevel"/>
    <w:tmpl w:val="DEDE8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05F10"/>
    <w:multiLevelType w:val="multilevel"/>
    <w:tmpl w:val="452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FC"/>
    <w:rsid w:val="002E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2E2F8"/>
  <w15:chartTrackingRefBased/>
  <w15:docId w15:val="{F789A81B-36C5-47CC-AB09-C275FE10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34FC"/>
    <w:rPr>
      <w:b/>
      <w:bCs/>
    </w:rPr>
  </w:style>
  <w:style w:type="character" w:styleId="a5">
    <w:name w:val="Emphasis"/>
    <w:basedOn w:val="a0"/>
    <w:uiPriority w:val="20"/>
    <w:qFormat/>
    <w:rsid w:val="002E34FC"/>
    <w:rPr>
      <w:i/>
      <w:iCs/>
    </w:rPr>
  </w:style>
  <w:style w:type="paragraph" w:styleId="a6">
    <w:name w:val="List Paragraph"/>
    <w:basedOn w:val="a"/>
    <w:uiPriority w:val="34"/>
    <w:qFormat/>
    <w:rsid w:val="002E3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1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4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4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03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96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96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98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36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56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16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 Tokezhanov</dc:creator>
  <cp:keywords/>
  <dc:description/>
  <cp:lastModifiedBy>Bolat Tokezhanov</cp:lastModifiedBy>
  <cp:revision>1</cp:revision>
  <dcterms:created xsi:type="dcterms:W3CDTF">2020-02-21T09:45:00Z</dcterms:created>
  <dcterms:modified xsi:type="dcterms:W3CDTF">2020-02-21T09:47:00Z</dcterms:modified>
</cp:coreProperties>
</file>